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0" w:type="dxa"/>
            <w:shd w:val="clear" w:color="auto" w:fill="1A3A6B"/>
            <w:tcMar>
              <w:top w:w="220" w:type="dxa"/>
              <w:left w:w="400" w:type="dxa"/>
              <w:bottom w:w="160" w:type="dxa"/>
              <w:right w:w="400" w:type="dxa"/>
            </w:tcMar>
            <w:vAlign w:val="top"/>
          </w:tcPr>
          <w:p>
            <w:pPr>
              <w:spacing w:before="0" w:after="60"/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52"/>
                <w:szCs w:val="52"/>
              </w:rPr>
              <w:t>BUSINESS</w:t>
            </w:r>
            <w:r>
              <w:rPr>
                <w:rFonts w:hint="default" w:ascii="Arial" w:hAnsi="Arial" w:eastAsia="Arial" w:cs="Arial"/>
                <w:b/>
                <w:bCs/>
                <w:color w:val="FFFFFF"/>
                <w:sz w:val="52"/>
                <w:szCs w:val="52"/>
                <w:lang/>
              </w:rPr>
              <w:t xml:space="preserve"> HEAD</w:t>
            </w: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0" w:type="dxa"/>
            <w:shd w:val="clear" w:color="auto" w:fill="0D7377"/>
            <w:tcMar>
              <w:top w:w="100" w:type="dxa"/>
              <w:left w:w="400" w:type="dxa"/>
              <w:bottom w:w="100" w:type="dxa"/>
              <w:right w:w="40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>Client Success  |  Business Development  |  P&amp;L Ownership   |  Business Growth</w:t>
            </w:r>
          </w:p>
        </w:tc>
      </w:tr>
    </w:tbl>
    <w:p>
      <w:pPr>
        <w:spacing w:before="60" w:after="6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00"/>
        <w:gridCol w:w="6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Role Title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pPr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Business Head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Function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Business Leadership — Cross-Functional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Reporting To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CEO / Founder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Location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New Delhi, India (HQ)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Employment Type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Full-Time | Senior Leadership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Experience Required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1</w:t>
            </w:r>
            <w:r>
              <w:rPr>
                <w:rFonts w:hint="default" w:ascii="Arial" w:hAnsi="Arial" w:eastAsia="Arial" w:cs="Arial"/>
                <w:color w:val="222222"/>
                <w:sz w:val="20"/>
                <w:szCs w:val="20"/>
                <w:lang/>
              </w:rPr>
              <w:t>5</w:t>
            </w:r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–</w:t>
            </w:r>
            <w:r>
              <w:rPr>
                <w:rFonts w:hint="default" w:ascii="Arial" w:hAnsi="Arial" w:eastAsia="Arial" w:cs="Arial"/>
                <w:color w:val="222222"/>
                <w:sz w:val="20"/>
                <w:szCs w:val="20"/>
                <w:lang/>
              </w:rPr>
              <w:t>20</w:t>
            </w:r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 xml:space="preserve"> years in commercial / leadership roles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Industry Background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Any B2B service, consulting, SaaS, BFSI, media, or professional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Digital Background</w:t>
            </w:r>
          </w:p>
        </w:tc>
        <w:tc>
          <w:tcPr>
            <w:tcW w:w="65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20"/>
                <w:szCs w:val="20"/>
              </w:rPr>
              <w:t>Not mandatory — added advantage if present</w:t>
            </w:r>
          </w:p>
        </w:tc>
      </w:tr>
    </w:tbl>
    <w:p>
      <w:pPr>
        <w:spacing w:before="60" w:after="60"/>
      </w:pPr>
    </w:p>
    <w:p>
      <w:pPr>
        <w:pBdr>
          <w:bottom w:val="single" w:color="1A3A6B" w:sz="8" w:space="4"/>
        </w:pBdr>
        <w:spacing w:before="320" w:after="120"/>
      </w:pPr>
      <w:r>
        <w:rPr>
          <w:rFonts w:ascii="Arial" w:hAnsi="Arial" w:eastAsia="Arial" w:cs="Arial"/>
          <w:b/>
          <w:bCs/>
          <w:color w:val="1A3A6B"/>
          <w:sz w:val="28"/>
          <w:szCs w:val="28"/>
        </w:rPr>
        <w:t>About the Role</w:t>
      </w:r>
    </w:p>
    <w:p>
      <w:pPr>
        <w:pStyle w:val="5"/>
        <w:widowControl/>
      </w:pPr>
      <w:r>
        <w:t xml:space="preserve">The Business Head is a senior cross-functional leadership role responsible for driving the commercial engine and strategic growth of a fast-growing digital marketing agency. </w:t>
      </w:r>
      <w:r>
        <w:rPr>
          <w:rFonts w:hint="default"/>
          <w:lang/>
        </w:rPr>
        <w:t>W</w:t>
      </w:r>
      <w:r>
        <w:t>e are looking for a sharp business leader who deeply understands client success, revenue growth, and comprehensive P&amp;L management.</w:t>
      </w:r>
    </w:p>
    <w:p>
      <w:pPr>
        <w:pStyle w:val="5"/>
        <w:widowControl/>
      </w:pPr>
      <w:r>
        <w:t>If you have built client success functions, owned P&amp;Ls, and closed enterprise deals — this role is for you. Digital marketing knowledge is an added advantage; we will invest in onboarding you to the domain.</w:t>
      </w:r>
    </w:p>
    <w:p>
      <w:pPr>
        <w:spacing w:before="60" w:after="60"/>
      </w:pPr>
    </w:p>
    <w:p>
      <w:pPr>
        <w:pBdr>
          <w:bottom w:val="single" w:color="1A3A6B" w:sz="8" w:space="4"/>
        </w:pBdr>
        <w:spacing w:before="320" w:after="120"/>
      </w:pPr>
      <w:r>
        <w:rPr>
          <w:rFonts w:ascii="Arial" w:hAnsi="Arial" w:eastAsia="Arial" w:cs="Arial"/>
          <w:b/>
          <w:bCs/>
          <w:color w:val="1A3A6B"/>
          <w:sz w:val="28"/>
          <w:szCs w:val="28"/>
        </w:rPr>
        <w:t>Key Areas of Ownership</w:t>
      </w:r>
    </w:p>
    <w:p>
      <w:pPr>
        <w:spacing w:before="200" w:after="80"/>
      </w:pPr>
      <w:r>
        <w:rPr>
          <w:rFonts w:ascii="Arial" w:hAnsi="Arial" w:eastAsia="Arial" w:cs="Arial"/>
          <w:b/>
          <w:bCs/>
          <w:color w:val="0D7377"/>
          <w:sz w:val="24"/>
          <w:szCs w:val="24"/>
        </w:rPr>
        <w:t>1. Client Success —Retention, Health &amp; Expansion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/>
          <w:bCs/>
          <w:color w:val="222222"/>
          <w:sz w:val="21"/>
          <w:szCs w:val="21"/>
        </w:rPr>
        <w:t>Own the CS function end-to-end: team structure, SLAs, processes, and performance accountability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Track and improve NRR, GRR, churn rate, CSAT, and account health metrics across all tiers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Build and enforce cadences for account reviews, escalation handling, and proactive risk management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Drive a culture shift from reactive account management to strategic, consultative client advisory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Own the upsell and cross-sell pipeline — structured identification, pursuit, and conversion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Govern CS matrix: account classification tiers, ownership assignments, and SLA standards by account type</w:t>
      </w:r>
    </w:p>
    <w:p>
      <w:pPr>
        <w:spacing w:before="200" w:after="80"/>
      </w:pPr>
      <w:r>
        <w:rPr>
          <w:rFonts w:ascii="Arial" w:hAnsi="Arial" w:eastAsia="Arial" w:cs="Arial"/>
          <w:b/>
          <w:bCs/>
          <w:color w:val="0D7377"/>
          <w:sz w:val="24"/>
          <w:szCs w:val="24"/>
        </w:rPr>
        <w:t>2. Business Development — Full Cycle Ownership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/>
          <w:bCs/>
          <w:color w:val="222222"/>
          <w:sz w:val="21"/>
          <w:szCs w:val="21"/>
        </w:rPr>
        <w:t>Own the complete BD cycle: outreach → lead assignment → presales → pitch → commercial approval → closure</w:t>
      </w:r>
    </w:p>
    <w:p>
      <w:pPr>
        <w:pStyle w:val="17"/>
        <w:numPr>
          <w:ilvl w:val="0"/>
          <w:numId w:val="2"/>
        </w:numPr>
        <w:spacing w:before="20" w:after="20"/>
      </w:pPr>
      <w:r>
        <w:rPr>
          <w:rFonts w:ascii="Arial" w:hAnsi="Arial" w:eastAsia="Arial" w:cs="Arial"/>
          <w:color w:val="444444"/>
          <w:sz w:val="20"/>
          <w:szCs w:val="20"/>
        </w:rPr>
        <w:t>Define ICP, outreach strategy, and lead sourcing channels</w:t>
      </w:r>
    </w:p>
    <w:p>
      <w:pPr>
        <w:pStyle w:val="17"/>
        <w:numPr>
          <w:ilvl w:val="0"/>
          <w:numId w:val="2"/>
        </w:numPr>
        <w:spacing w:before="20" w:after="20"/>
      </w:pPr>
      <w:r>
        <w:rPr>
          <w:rFonts w:ascii="Arial" w:hAnsi="Arial" w:eastAsia="Arial" w:cs="Arial"/>
          <w:color w:val="444444"/>
          <w:sz w:val="20"/>
          <w:szCs w:val="20"/>
        </w:rPr>
        <w:t>Enforce pipeline hygiene and lead assignment governance across the BD team</w:t>
      </w:r>
    </w:p>
    <w:p>
      <w:pPr>
        <w:pStyle w:val="17"/>
        <w:numPr>
          <w:ilvl w:val="0"/>
          <w:numId w:val="2"/>
        </w:numPr>
        <w:spacing w:before="20" w:after="20"/>
      </w:pPr>
      <w:r>
        <w:rPr>
          <w:rFonts w:ascii="Arial" w:hAnsi="Arial" w:eastAsia="Arial" w:cs="Arial"/>
          <w:color w:val="444444"/>
          <w:sz w:val="20"/>
          <w:szCs w:val="20"/>
        </w:rPr>
        <w:t>Approve all presales strategies and commercial proposals before client delivery</w:t>
      </w:r>
    </w:p>
    <w:p>
      <w:pPr>
        <w:pStyle w:val="17"/>
        <w:numPr>
          <w:ilvl w:val="0"/>
          <w:numId w:val="2"/>
        </w:numPr>
        <w:spacing w:before="20" w:after="20"/>
      </w:pPr>
      <w:r>
        <w:rPr>
          <w:rFonts w:ascii="Arial" w:hAnsi="Arial" w:eastAsia="Arial" w:cs="Arial"/>
          <w:color w:val="444444"/>
          <w:sz w:val="20"/>
          <w:szCs w:val="20"/>
        </w:rPr>
        <w:t>Personally lead high-value, enterprise-level pitches</w:t>
      </w:r>
    </w:p>
    <w:p>
      <w:pPr>
        <w:pStyle w:val="17"/>
        <w:numPr>
          <w:ilvl w:val="0"/>
          <w:numId w:val="2"/>
        </w:numPr>
        <w:spacing w:before="20" w:after="20"/>
      </w:pPr>
      <w:r>
        <w:rPr>
          <w:rFonts w:ascii="Arial" w:hAnsi="Arial" w:eastAsia="Arial" w:cs="Arial"/>
          <w:color w:val="444444"/>
          <w:sz w:val="20"/>
          <w:szCs w:val="20"/>
        </w:rPr>
        <w:t>Drive commercial negotiation and deal closure with full authority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Set BD team targets, win-rate benchmarks, and conversion standards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Take pricing and packaging decisions — discounting authority, deal structuring, custom mandates</w:t>
      </w:r>
    </w:p>
    <w:p>
      <w:pPr>
        <w:spacing w:before="200" w:after="80"/>
      </w:pPr>
      <w:r>
        <w:rPr>
          <w:rFonts w:ascii="Arial" w:hAnsi="Arial" w:eastAsia="Arial" w:cs="Arial"/>
          <w:b/>
          <w:bCs/>
          <w:color w:val="0D7377"/>
          <w:sz w:val="24"/>
          <w:szCs w:val="24"/>
        </w:rPr>
        <w:t>3. P&amp;L, Budgeting &amp; Financial Governance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/>
          <w:bCs/>
          <w:color w:val="222222"/>
          <w:sz w:val="21"/>
          <w:szCs w:val="21"/>
        </w:rPr>
        <w:t>Own full agency P&amp;L — revenue, cost, margins, and EBITDA across all departments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Lead annual budgeting and quarterly reforecasting across CS, BD functions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Govern debtor management: collections discipline, DSO targets, invoicing accuracy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Identify and address revenue leakage, under-billing, and scope creep commercially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Build and maintain CEO-level MIS: revenue by account, cost by department, margin by service line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Build investment cases for headcount, tooling, and infrastructure additions</w:t>
      </w:r>
    </w:p>
    <w:p>
      <w:pPr>
        <w:pStyle w:val="17"/>
        <w:numPr>
          <w:numId w:val="0"/>
        </w:numPr>
        <w:spacing w:before="40" w:after="40"/>
        <w:ind w:left="360" w:leftChars="0"/>
      </w:pPr>
    </w:p>
    <w:p>
      <w:pPr>
        <w:spacing w:before="200" w:after="80"/>
      </w:pPr>
      <w:r>
        <w:rPr>
          <w:rFonts w:hint="default" w:ascii="Arial" w:hAnsi="Arial" w:eastAsia="Arial" w:cs="Arial"/>
          <w:b/>
          <w:bCs/>
          <w:color w:val="0D7377"/>
          <w:sz w:val="24"/>
          <w:szCs w:val="24"/>
          <w:lang/>
        </w:rPr>
        <w:t>4</w:t>
      </w:r>
      <w:r>
        <w:rPr>
          <w:rFonts w:ascii="Arial" w:hAnsi="Arial" w:eastAsia="Arial" w:cs="Arial"/>
          <w:b/>
          <w:bCs/>
          <w:color w:val="0D7377"/>
          <w:sz w:val="24"/>
          <w:szCs w:val="24"/>
        </w:rPr>
        <w:t>. Business Growth &amp; Strategic Leadership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/>
          <w:bCs/>
          <w:color w:val="222222"/>
          <w:sz w:val="21"/>
          <w:szCs w:val="21"/>
        </w:rPr>
        <w:t>Define and execute the annual revenue growth plan — new business and account expansion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Identify new verticals, service lines, and market opportunities to grow the business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Represent the agency in high-value client conversations, partnerships, and industry forums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Build a second leadership tier — develop CS heads, BD leads, and KADs to own their functions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Present structured business reviews to the CEO with forward-looking growth roadmaps</w:t>
      </w:r>
    </w:p>
    <w:p>
      <w:pPr>
        <w:spacing w:before="60" w:after="60"/>
      </w:pPr>
    </w:p>
    <w:p>
      <w:pPr>
        <w:pBdr>
          <w:bottom w:val="single" w:color="1A3A6B" w:sz="8" w:space="4"/>
        </w:pBdr>
        <w:spacing w:before="320" w:after="120"/>
      </w:pPr>
      <w:r>
        <w:rPr>
          <w:rFonts w:ascii="Arial" w:hAnsi="Arial" w:eastAsia="Arial" w:cs="Arial"/>
          <w:b/>
          <w:bCs/>
          <w:color w:val="1A3A6B"/>
          <w:sz w:val="28"/>
          <w:szCs w:val="28"/>
        </w:rPr>
        <w:t>Key Performance Indicators</w:t>
      </w:r>
    </w:p>
    <w:tbl>
      <w:tblPr>
        <w:tblW w:w="6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00"/>
        <w:gridCol w:w="4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1A3A6B"/>
            <w:tcMar>
              <w:top w:w="80" w:type="dxa"/>
              <w:left w:w="140" w:type="dxa"/>
              <w:bottom w:w="80" w:type="dxa"/>
              <w:right w:w="10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1A3A6B"/>
            <w:tcMar>
              <w:top w:w="80" w:type="dxa"/>
              <w:left w:w="140" w:type="dxa"/>
              <w:bottom w:w="80" w:type="dxa"/>
              <w:right w:w="10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Metric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Client Success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Net Revenue Retention (NRR)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Client Success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Gross Revenue Retention (GRR)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Client Success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CSAT / NPS Score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BD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New Business Win 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BD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Pipeline Coverage Ratio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Upsell / CS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Expansion Revenue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Finance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Debtor Days (DSO)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Finance</w:t>
            </w:r>
          </w:p>
        </w:tc>
        <w:tc>
          <w:tcPr>
            <w:tcW w:w="42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00" w:type="dxa"/>
            </w:tcMar>
            <w:vAlign w:val="top"/>
          </w:tcPr>
          <w:p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P&amp;L vs Budget Variance</w:t>
            </w:r>
          </w:p>
        </w:tc>
      </w:tr>
    </w:tbl>
    <w:p>
      <w:pPr>
        <w:spacing w:before="60" w:after="60"/>
      </w:pPr>
    </w:p>
    <w:p>
      <w:pPr>
        <w:pBdr>
          <w:bottom w:val="single" w:color="1A3A6B" w:sz="8" w:space="4"/>
        </w:pBdr>
        <w:spacing w:before="320" w:after="120"/>
      </w:pPr>
      <w:r>
        <w:rPr>
          <w:rFonts w:ascii="Arial" w:hAnsi="Arial" w:eastAsia="Arial" w:cs="Arial"/>
          <w:b/>
          <w:bCs/>
          <w:color w:val="1A3A6B"/>
          <w:sz w:val="28"/>
          <w:szCs w:val="28"/>
        </w:rPr>
        <w:t>Qualifications &amp; Experience</w:t>
      </w:r>
    </w:p>
    <w:p>
      <w:pPr>
        <w:spacing w:before="200" w:after="80"/>
      </w:pPr>
      <w:r>
        <w:rPr>
          <w:rFonts w:ascii="Arial" w:hAnsi="Arial" w:eastAsia="Arial" w:cs="Arial"/>
          <w:b/>
          <w:bCs/>
          <w:color w:val="0D7377"/>
          <w:sz w:val="24"/>
          <w:szCs w:val="24"/>
        </w:rPr>
        <w:t>Must-Have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/>
          <w:bCs/>
          <w:color w:val="222222"/>
          <w:sz w:val="21"/>
          <w:szCs w:val="21"/>
        </w:rPr>
        <w:t xml:space="preserve">12–18 years in commercial leadership — any B2B service, </w:t>
      </w:r>
      <w:r>
        <w:rPr>
          <w:rFonts w:hint="default" w:cs="Arial"/>
          <w:b/>
          <w:bCs/>
          <w:color w:val="222222"/>
          <w:sz w:val="21"/>
          <w:szCs w:val="21"/>
          <w:lang/>
        </w:rPr>
        <w:t>Digital Marketing ,</w:t>
      </w:r>
      <w:r>
        <w:rPr>
          <w:rFonts w:ascii="Arial" w:hAnsi="Arial" w:eastAsia="Arial" w:cs="Arial"/>
          <w:b/>
          <w:bCs/>
          <w:color w:val="222222"/>
          <w:sz w:val="21"/>
          <w:szCs w:val="21"/>
        </w:rPr>
        <w:t>consulting, SaaS, BFSI, media, or professional services industry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Demonstrated P&amp;L ownership — budgeting, margin management, collections oversight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Proven CS leadership: NRR growth, churn management, team building, account health governance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Full-cycle BD track record: outreach to closure, enterprise pitching, commercial deal authority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Operational mindset: has built or improved processes, enforced SOPs, driven cross-functional efficiency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People leadership: managed and developed multi-function teams (CS, BD)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Commercially sharp: pricing decisions, cost-benefit analysis, investment case building</w:t>
      </w:r>
    </w:p>
    <w:p>
      <w:pPr>
        <w:spacing w:before="200" w:after="80"/>
      </w:pPr>
      <w:r>
        <w:rPr>
          <w:rFonts w:ascii="Arial" w:hAnsi="Arial" w:eastAsia="Arial" w:cs="Arial"/>
          <w:b/>
          <w:bCs/>
          <w:color w:val="0D7377"/>
          <w:sz w:val="24"/>
          <w:szCs w:val="24"/>
        </w:rPr>
        <w:t>Added Advantage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Prior exposure to digital marketing, performance agency, SEO, or content services environment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Familiarity with digital service lines: SEO, Paid Media, Content, AI Search / GEO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Experience in BFSI, Healthcare, or B2B enterprise client segments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Network among senior marketing decision-makers: CMOs, VP Marketing, Heads of Digital</w:t>
      </w:r>
    </w:p>
    <w:p>
      <w:pPr>
        <w:pStyle w:val="17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color w:val="222222"/>
          <w:sz w:val="21"/>
          <w:szCs w:val="21"/>
        </w:rPr>
        <w:t>Experience building a CS or BD function from scratch in a growing agency</w:t>
      </w:r>
    </w:p>
    <w:p>
      <w:pPr>
        <w:spacing w:before="60" w:after="60"/>
      </w:pPr>
    </w:p>
    <w:p>
      <w:pPr>
        <w:pBdr>
          <w:bottom w:val="single" w:color="1A3A6B" w:sz="8" w:space="4"/>
        </w:pBdr>
        <w:spacing w:before="320" w:after="120"/>
      </w:pPr>
      <w:r>
        <w:rPr>
          <w:rFonts w:ascii="Arial" w:hAnsi="Arial" w:eastAsia="Arial" w:cs="Arial"/>
          <w:b/>
          <w:bCs/>
          <w:color w:val="1A3A6B"/>
          <w:sz w:val="28"/>
          <w:szCs w:val="28"/>
        </w:rPr>
        <w:t>30 / 60 / 90 Day Plan — Department-by-Department</w:t>
      </w:r>
    </w:p>
    <w:p>
      <w:pPr>
        <w:spacing w:before="60" w:after="60"/>
      </w:pPr>
      <w:r>
        <w:rPr>
          <w:rFonts w:ascii="Arial" w:hAnsi="Arial" w:eastAsia="Arial" w:cs="Arial"/>
          <w:color w:val="333333"/>
          <w:sz w:val="21"/>
          <w:szCs w:val="21"/>
        </w:rPr>
        <w:t>The following plan defines what the Business</w:t>
      </w:r>
      <w:r>
        <w:rPr>
          <w:rFonts w:hint="default" w:ascii="Arial" w:hAnsi="Arial" w:eastAsia="Arial" w:cs="Arial"/>
          <w:color w:val="333333"/>
          <w:sz w:val="21"/>
          <w:szCs w:val="21"/>
          <w:lang/>
        </w:rPr>
        <w:t xml:space="preserve"> Head</w:t>
      </w:r>
      <w:r>
        <w:rPr>
          <w:rFonts w:ascii="Arial" w:hAnsi="Arial" w:eastAsia="Arial" w:cs="Arial"/>
          <w:color w:val="333333"/>
          <w:sz w:val="21"/>
          <w:szCs w:val="21"/>
        </w:rPr>
        <w:t xml:space="preserve"> is expected to understand, prioritise, and deliver across each department within the first three months. This is not a generic onboarding plan — it is a department-level operating roadmap that sets expectations from Day 1.</w:t>
      </w:r>
    </w:p>
    <w:p>
      <w:pPr>
        <w:spacing w:before="40" w:after="40"/>
      </w:pP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4080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0" w:type="dxa"/>
            <w:gridSpan w:val="3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1A3A6B"/>
            <w:tcMar>
              <w:top w:w="100" w:type="dxa"/>
              <w:left w:w="160" w:type="dxa"/>
              <w:bottom w:w="100" w:type="dxa"/>
              <w:right w:w="12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4"/>
                <w:szCs w:val="24"/>
              </w:rPr>
              <w:t>DAYS 1–30  |  Listen, Audit &amp; Understand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Department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Priority Actions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Success Marker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Client Success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Meet all KAMs and KADs. Audit top 20 accounts — revenue, health score, relationship strength, and risk flags. Understand CS org structure, team gaps, and current SLA framework.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Full account health map complete. At-risk accounts flagged. CS team capability assessed.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Business Development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Review full BD pipeline — stage-wise and owner-wise. Understand current ICP, pitch decks, win/loss patterns, and lead source mix.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Pipeline audit done. Win rate and funnel drop-off points identified.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P&amp;L &amp; Finance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Review last 3 months P&amp;L, invoicing status, debtor ageing report, and budget vs actuals. Understand revenue recognition and billing workflow.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Clear revenue health picture. Pending collections and budget gaps documented.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People &amp; Structure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Meet all department heads and senior team members. Understand org design, reporting lines, bandwidth gaps, and priority open hires.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 xml:space="preserve">Org clarity achieved. Priority hires and structural gaps documented for </w:t>
            </w:r>
            <w:r>
              <w:rPr>
                <w:rFonts w:hint="default" w:ascii="Arial" w:hAnsi="Arial" w:eastAsia="Arial" w:cs="Arial"/>
                <w:color w:val="333333"/>
                <w:sz w:val="19"/>
                <w:szCs w:val="19"/>
                <w:lang/>
              </w:rPr>
              <w:t>Management’s</w:t>
            </w:r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 xml:space="preserve"> review.</w:t>
            </w:r>
          </w:p>
        </w:tc>
      </w:tr>
    </w:tbl>
    <w:p>
      <w:pPr>
        <w:spacing w:before="40" w:after="40"/>
      </w:pP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4080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0" w:type="dxa"/>
            <w:gridSpan w:val="3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0D7377"/>
            <w:tcMar>
              <w:top w:w="100" w:type="dxa"/>
              <w:left w:w="160" w:type="dxa"/>
              <w:bottom w:w="100" w:type="dxa"/>
              <w:right w:w="12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4"/>
                <w:szCs w:val="24"/>
              </w:rPr>
              <w:t>DAYS 31–60  |  Stabilise, Fix &amp; Build Momentum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Department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Priority Actions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Success Marker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Client Success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Implement account review cadence. Personally intervene on top 3 at-risk accounts. Launch upsell conversations on 5+ accounts. Define CS SLA framework by account tier.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First retention wins visible. Upsell pipeline initiated. CS review cadence running.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Business Development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Fix pipeline hygiene — enforce stage definitions, update CRM. Attend and review 2–3 live pitches. Improve presales proposal quality with structured feedback loop.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Pipeline cleaned. Pitch quality improving. First collaborative closures in motion.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P&amp;L &amp; Finance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Initiate structured debtor follow-up. Fix known billing gaps. Set up monthly P&amp;L review cadence with finance. Build department-level cost view.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DSO improving. Monthly MIS structure in place. Budget vs actual tracking operational.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People &amp; Structure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Define performance expectations for all direct reports. Initiate critical open hires. Begin structured weekly 1:1s across CS and BD leads.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Performance framework set. Hiring pipeline moving. Leadership team aligned on priorities.</w:t>
            </w:r>
          </w:p>
        </w:tc>
      </w:tr>
    </w:tbl>
    <w:p>
      <w:pPr>
        <w:spacing w:before="40" w:after="40"/>
      </w:pP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4080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0" w:type="dxa"/>
            <w:gridSpan w:val="3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1A5276"/>
            <w:tcMar>
              <w:top w:w="100" w:type="dxa"/>
              <w:left w:w="160" w:type="dxa"/>
              <w:bottom w:w="100" w:type="dxa"/>
              <w:right w:w="12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4"/>
                <w:szCs w:val="24"/>
              </w:rPr>
              <w:t>DAYS 61–90  |  Own It, Scale It &amp; Deliver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Department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Priority Actions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Success Marker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Client Success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Full CS function ownership. NRR trend stabilised or improving. CS playbooks documented and adopted. Upsell pipeline generating first revenue.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NRR improving. CS team operating independently. First expansion revenue booked.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Business Development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Own BD pipeline with full commercial authority. Close first 1–2 new accounts. BD team operating with clear targets, pipeline governance, and weekly review rhythm.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BD win rate on track. New revenue added to base. Pipeline coverage at 3x.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P&amp;L &amp; Finance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Full P&amp;L accountability live. Budget variance within target. Debtor book reducing. CEO-level MIS delivered proactively on a monthly cadence.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P&amp;L within budget. Collections improving. Financial discipline established across the org.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bCs/>
                <w:color w:val="1A3A6B"/>
                <w:sz w:val="19"/>
                <w:szCs w:val="19"/>
              </w:rPr>
              <w:t>People &amp; Structure</w:t>
            </w:r>
          </w:p>
        </w:tc>
        <w:tc>
          <w:tcPr>
            <w:tcW w:w="408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All direct reports performing against defined KPIs. 6-month growth plan ready. Full business review presented to CEO with clarity and confidence.</w:t>
            </w:r>
          </w:p>
        </w:tc>
        <w:tc>
          <w:tcPr>
            <w:tcW w:w="400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80" w:type="dxa"/>
            </w:tcMar>
            <w:vAlign w:val="top"/>
          </w:tcPr>
          <w:p>
            <w:r>
              <w:rPr>
                <w:rFonts w:ascii="Arial" w:hAnsi="Arial" w:eastAsia="Arial" w:cs="Arial"/>
                <w:color w:val="333333"/>
                <w:sz w:val="19"/>
                <w:szCs w:val="19"/>
              </w:rPr>
              <w:t>Org fully operating under COB ownership. Next 6-month plan locked and ready to execute.</w:t>
            </w:r>
          </w:p>
        </w:tc>
      </w:tr>
    </w:tbl>
    <w:p>
      <w:pPr>
        <w:spacing w:before="60" w:after="60"/>
      </w:pPr>
    </w:p>
    <w:p>
      <w:pPr>
        <w:pBdr>
          <w:bottom w:val="single" w:color="1A3A6B" w:sz="8" w:space="4"/>
        </w:pBdr>
        <w:spacing w:before="320" w:after="120"/>
      </w:pPr>
      <w:r>
        <w:rPr>
          <w:rFonts w:ascii="Arial" w:hAnsi="Arial" w:eastAsia="Arial" w:cs="Arial"/>
          <w:b/>
          <w:bCs/>
          <w:color w:val="1A3A6B"/>
          <w:sz w:val="28"/>
          <w:szCs w:val="28"/>
        </w:rPr>
        <w:t>Leadership Competencies</w:t>
      </w:r>
    </w:p>
    <w:tbl>
      <w:tblPr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360"/>
        <w:gridCol w:w="336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3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120" w:type="dxa"/>
              <w:left w:w="140" w:type="dxa"/>
              <w:bottom w:w="120" w:type="dxa"/>
              <w:right w:w="120" w:type="dxa"/>
            </w:tcMar>
            <w:vAlign w:val="top"/>
          </w:tcPr>
          <w:p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Commercial Ownership</w:t>
            </w:r>
          </w:p>
          <w:p>
            <w:r>
              <w:rPr>
                <w:rFonts w:ascii="Arial" w:hAnsi="Arial" w:eastAsia="Arial" w:cs="Arial"/>
                <w:color w:val="444444"/>
                <w:sz w:val="18"/>
                <w:szCs w:val="18"/>
              </w:rPr>
              <w:t>Treats the P&amp;L like it is their own business. Revenue, margins, and collections are never someone else's problem.</w:t>
            </w:r>
          </w:p>
        </w:tc>
        <w:tc>
          <w:tcPr>
            <w:tcW w:w="33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120" w:type="dxa"/>
              <w:left w:w="140" w:type="dxa"/>
              <w:bottom w:w="120" w:type="dxa"/>
              <w:right w:w="120" w:type="dxa"/>
            </w:tcMar>
            <w:vAlign w:val="top"/>
          </w:tcPr>
          <w:p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Client-First Thinking</w:t>
            </w:r>
          </w:p>
          <w:p>
            <w:r>
              <w:rPr>
                <w:rFonts w:ascii="Arial" w:hAnsi="Arial" w:eastAsia="Arial" w:cs="Arial"/>
                <w:color w:val="444444"/>
                <w:sz w:val="18"/>
                <w:szCs w:val="18"/>
              </w:rPr>
              <w:t>Builds trust before pitching. Knows the difference between managing an account and genuinely owning a relationship.</w:t>
            </w:r>
          </w:p>
        </w:tc>
        <w:tc>
          <w:tcPr>
            <w:tcW w:w="33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shd w:val="clear" w:color="auto" w:fill="EAF2FB"/>
            <w:tcMar>
              <w:top w:w="120" w:type="dxa"/>
              <w:left w:w="140" w:type="dxa"/>
              <w:bottom w:w="120" w:type="dxa"/>
              <w:right w:w="120" w:type="dxa"/>
            </w:tcMar>
            <w:vAlign w:val="top"/>
          </w:tcPr>
          <w:p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Operational Rigor</w:t>
            </w:r>
          </w:p>
          <w:p>
            <w:r>
              <w:rPr>
                <w:rFonts w:ascii="Arial" w:hAnsi="Arial" w:eastAsia="Arial" w:cs="Arial"/>
                <w:color w:val="444444"/>
                <w:sz w:val="18"/>
                <w:szCs w:val="18"/>
              </w:rPr>
              <w:t>Finds inefficiency and eliminates it. Builds systems that scale, not workarounds that create the next problem.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3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120" w:type="dxa"/>
              <w:left w:w="140" w:type="dxa"/>
              <w:bottom w:w="120" w:type="dxa"/>
              <w:right w:w="120" w:type="dxa"/>
            </w:tcMar>
            <w:vAlign w:val="top"/>
          </w:tcPr>
          <w:p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BD Drive</w:t>
            </w:r>
          </w:p>
          <w:p>
            <w:r>
              <w:rPr>
                <w:rFonts w:ascii="Arial" w:hAnsi="Arial" w:eastAsia="Arial" w:cs="Arial"/>
                <w:color w:val="444444"/>
                <w:sz w:val="18"/>
                <w:szCs w:val="18"/>
              </w:rPr>
              <w:t>Loves the chase. Comfortable from the first pitch to the final close. Does not hand off at the hard part.</w:t>
            </w:r>
          </w:p>
        </w:tc>
        <w:tc>
          <w:tcPr>
            <w:tcW w:w="33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120" w:type="dxa"/>
              <w:left w:w="140" w:type="dxa"/>
              <w:bottom w:w="120" w:type="dxa"/>
              <w:right w:w="120" w:type="dxa"/>
            </w:tcMar>
            <w:vAlign w:val="top"/>
          </w:tcPr>
          <w:p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Data-Driven</w:t>
            </w:r>
          </w:p>
          <w:p>
            <w:r>
              <w:rPr>
                <w:rFonts w:ascii="Arial" w:hAnsi="Arial" w:eastAsia="Arial" w:cs="Arial"/>
                <w:color w:val="444444"/>
                <w:sz w:val="18"/>
                <w:szCs w:val="18"/>
              </w:rPr>
              <w:t>Runs on numbers. Tracks what matters. Builds dashboards before anyone asks for them.</w:t>
            </w:r>
          </w:p>
        </w:tc>
        <w:tc>
          <w:tcPr>
            <w:tcW w:w="3360" w:type="dxa"/>
            <w:tcBorders>
              <w:top w:val="single" w:color="C0D0E0" w:sz="0" w:space="0"/>
              <w:left w:val="single" w:color="C0D0E0" w:sz="0" w:space="0"/>
              <w:bottom w:val="single" w:color="C0D0E0" w:sz="0" w:space="0"/>
              <w:right w:val="single" w:color="C0D0E0" w:sz="0" w:space="0"/>
            </w:tcBorders>
            <w:tcMar>
              <w:top w:w="120" w:type="dxa"/>
              <w:left w:w="140" w:type="dxa"/>
              <w:bottom w:w="120" w:type="dxa"/>
              <w:right w:w="120" w:type="dxa"/>
            </w:tcMar>
            <w:vAlign w:val="top"/>
          </w:tcPr>
          <w:p>
            <w:pPr>
              <w:spacing w:before="0" w:after="60"/>
            </w:pPr>
            <w:r>
              <w:rPr>
                <w:rFonts w:ascii="Arial" w:hAnsi="Arial" w:eastAsia="Arial" w:cs="Arial"/>
                <w:b/>
                <w:bCs/>
                <w:color w:val="1A3A6B"/>
                <w:sz w:val="20"/>
                <w:szCs w:val="20"/>
              </w:rPr>
              <w:t>Team Multiplier</w:t>
            </w:r>
          </w:p>
          <w:p>
            <w:r>
              <w:rPr>
                <w:rFonts w:ascii="Arial" w:hAnsi="Arial" w:eastAsia="Arial" w:cs="Arial"/>
                <w:color w:val="444444"/>
                <w:sz w:val="18"/>
                <w:szCs w:val="18"/>
              </w:rPr>
              <w:t>Makes people around them better. Develops leaders below, not just manages tasks above.</w:t>
            </w:r>
          </w:p>
        </w:tc>
      </w:tr>
    </w:tbl>
    <w:p>
      <w:pPr>
        <w:pBdr>
          <w:top w:val="single" w:color="0D7377" w:sz="6" w:space="4"/>
        </w:pBdr>
        <w:spacing w:before="140" w:after="0"/>
        <w:jc w:val="both"/>
      </w:pPr>
    </w:p>
    <w:sectPr>
      <w:headerReference r:id="rId4" w:type="default"/>
      <w:footerReference r:id="rId5" w:type="default"/>
      <w:pgSz w:w="12240" w:h="15840"/>
      <w:pgMar w:top="1080" w:right="1080" w:bottom="108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default"/>
        <w:lang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bottom w:val="single" w:color="1A3A6B" w:sz="6" w:space="4"/>
      </w:pBdr>
      <w:tabs>
        <w:tab w:val="left" w:pos="8438"/>
      </w:tabs>
      <w:spacing w:before="0" w:after="80"/>
      <w:jc w:val="both"/>
      <w:rPr>
        <w:rFonts w:hint="default"/>
        <w:lang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1"/>
      <w:numFmt w:val="bullet"/>
      <w:lvlText w:val="•"/>
      <w:lvlJc w:val="left"/>
      <w:pPr>
        <w:ind w:left="720" w:hanging="360"/>
      </w:pPr>
    </w:lvl>
  </w:abstractNum>
  <w:abstractNum w:abstractNumId="2">
    <w:nsid w:val="00000002"/>
    <w:multiLevelType w:val="singleLevel"/>
    <w:tmpl w:val="00000002"/>
    <w:lvl w:ilvl="0" w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BreakWrappedTables/>
    <w:doNotWrapTextWithPunct/>
    <w:doNotUseEastAsianBreakRules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paragraph" w:styleId="2">
    <w:name w:val="endnote text"/>
    <w:basedOn w:val="3"/>
    <w:link w:val="1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customStyle="1" w:styleId="3">
    <w:name w:val="Heading 12"/>
    <w:qFormat/>
    <w:uiPriority w:val="0"/>
    <w:pPr>
      <w:spacing w:before="320" w:after="120"/>
      <w:outlineLvl w:val="0"/>
    </w:pPr>
    <w:rPr>
      <w:rFonts w:ascii="Arial" w:hAnsi="Arial" w:eastAsia="Arial" w:cs="Arial"/>
      <w:b/>
      <w:bCs/>
      <w:color w:val="1A3A6B"/>
      <w:sz w:val="28"/>
      <w:szCs w:val="28"/>
    </w:rPr>
  </w:style>
  <w:style w:type="paragraph" w:styleId="4">
    <w:name w:val="footnote text"/>
    <w:basedOn w:val="3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-SA"/>
    </w:rPr>
  </w:style>
  <w:style w:type="paragraph" w:styleId="6">
    <w:name w:val="Title"/>
    <w:basedOn w:val="3"/>
    <w:next w:val="3"/>
    <w:qFormat/>
    <w:uiPriority w:val="0"/>
    <w:rPr>
      <w:sz w:val="56"/>
      <w:szCs w:val="56"/>
    </w:rPr>
  </w:style>
  <w:style w:type="character" w:styleId="7">
    <w:name w:val="endnote reference"/>
    <w:semiHidden/>
    <w:unhideWhenUsed/>
    <w:uiPriority w:val="99"/>
    <w:rPr>
      <w:vertAlign w:val="superscript"/>
    </w:rPr>
  </w:style>
  <w:style w:type="character" w:styleId="8">
    <w:name w:val="footnote reference"/>
    <w:semiHidden/>
    <w:unhideWhenUsed/>
    <w:uiPriority w:val="99"/>
    <w:rPr>
      <w:vertAlign w:val="superscript"/>
    </w:rPr>
  </w:style>
  <w:style w:type="character" w:styleId="9">
    <w:name w:val="Hyperlink"/>
    <w:unhideWhenUsed/>
    <w:uiPriority w:val="99"/>
    <w:rPr>
      <w:color w:val="0563C1"/>
      <w:u w:val="single"/>
    </w:rPr>
  </w:style>
  <w:style w:type="character" w:styleId="10">
    <w:name w:val="Strong"/>
    <w:basedOn w:val="3"/>
    <w:next w:val="3"/>
    <w:qFormat/>
    <w:uiPriority w:val="0"/>
    <w:rPr>
      <w:b w:val="0"/>
      <w:bCs w:val="0"/>
      <w:vanish/>
    </w:rPr>
  </w:style>
  <w:style w:type="paragraph" w:customStyle="1" w:styleId="11">
    <w:name w:val="Heading 11"/>
    <w:basedOn w:val="3"/>
    <w:next w:val="3"/>
    <w:qFormat/>
    <w:uiPriority w:val="0"/>
    <w:rPr>
      <w:color w:val="2E74B5"/>
      <w:sz w:val="32"/>
      <w:szCs w:val="32"/>
    </w:rPr>
  </w:style>
  <w:style w:type="paragraph" w:customStyle="1" w:styleId="12">
    <w:name w:val="Heading 21"/>
    <w:basedOn w:val="3"/>
    <w:next w:val="3"/>
    <w:qFormat/>
    <w:uiPriority w:val="0"/>
    <w:rPr>
      <w:color w:val="2E74B5"/>
      <w:sz w:val="26"/>
      <w:szCs w:val="26"/>
    </w:rPr>
  </w:style>
  <w:style w:type="paragraph" w:customStyle="1" w:styleId="13">
    <w:name w:val="Heading 31"/>
    <w:basedOn w:val="3"/>
    <w:next w:val="3"/>
    <w:qFormat/>
    <w:uiPriority w:val="0"/>
    <w:rPr>
      <w:color w:val="1F4D78"/>
      <w:sz w:val="24"/>
      <w:szCs w:val="24"/>
    </w:rPr>
  </w:style>
  <w:style w:type="paragraph" w:customStyle="1" w:styleId="14">
    <w:name w:val="Heading 41"/>
    <w:basedOn w:val="3"/>
    <w:next w:val="3"/>
    <w:qFormat/>
    <w:uiPriority w:val="0"/>
    <w:rPr>
      <w:i/>
      <w:iCs/>
      <w:color w:val="2E74B5"/>
    </w:rPr>
  </w:style>
  <w:style w:type="paragraph" w:customStyle="1" w:styleId="15">
    <w:name w:val="Heading 51"/>
    <w:basedOn w:val="3"/>
    <w:next w:val="3"/>
    <w:qFormat/>
    <w:uiPriority w:val="0"/>
    <w:rPr>
      <w:color w:val="2E74B5"/>
    </w:rPr>
  </w:style>
  <w:style w:type="paragraph" w:customStyle="1" w:styleId="16">
    <w:name w:val="Heading 61"/>
    <w:basedOn w:val="3"/>
    <w:next w:val="3"/>
    <w:qFormat/>
    <w:uiPriority w:val="0"/>
    <w:rPr>
      <w:color w:val="1F4D78"/>
    </w:rPr>
  </w:style>
  <w:style w:type="paragraph" w:customStyle="1" w:styleId="17">
    <w:name w:val="List Paragraph"/>
    <w:basedOn w:val="3"/>
    <w:qFormat/>
    <w:uiPriority w:val="0"/>
  </w:style>
  <w:style w:type="character" w:customStyle="1" w:styleId="18">
    <w:name w:val="Footnote Text Char"/>
    <w:link w:val="4"/>
    <w:semiHidden/>
    <w:unhideWhenUsed/>
    <w:uiPriority w:val="99"/>
    <w:rPr>
      <w:sz w:val="20"/>
      <w:szCs w:val="20"/>
    </w:rPr>
  </w:style>
  <w:style w:type="character" w:customStyle="1" w:styleId="19">
    <w:name w:val="Endnote Text Char"/>
    <w:link w:val="2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Office_9.1.0.4674_{F1E327BC-269C-435d-A152-05C5408002CA}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2026-05-16T13:32:00Z</dcterms:created>
  <dc:creator>Un-named</dc:creator>
  <cp:lastModifiedBy>TML122</cp:lastModifiedBy>
  <dcterms:modified xsi:type="dcterms:W3CDTF">2026-05-26T11:20:44Z</dcterms:modified>
  <dc:title>BUSINESS HEAD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